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03</w:t>
      </w:r>
      <w:r>
        <w:rPr>
          <w:b/>
          <w:sz w:val="28"/>
          <w:szCs w:val="28"/>
        </w:rPr>
        <w:t xml:space="preserve"> сентября </w:t>
      </w:r>
      <w:r>
        <w:rPr>
          <w:b/>
          <w:sz w:val="28"/>
          <w:szCs w:val="28"/>
        </w:rPr>
        <w:t xml:space="preserve">20</w:t>
      </w:r>
      <w:r>
        <w:rPr>
          <w:b/>
          <w:sz w:val="28"/>
          <w:szCs w:val="28"/>
        </w:rPr>
        <w:t xml:space="preserve">25</w:t>
      </w:r>
      <w:r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t xml:space="preserve">проведено </w:t>
      </w:r>
      <w:r>
        <w:rPr>
          <w:b/>
          <w:sz w:val="28"/>
          <w:szCs w:val="28"/>
        </w:rPr>
        <w:t xml:space="preserve">совместное</w:t>
      </w:r>
      <w:r>
        <w:rPr>
          <w:b/>
          <w:sz w:val="28"/>
          <w:szCs w:val="28"/>
        </w:rPr>
        <w:t xml:space="preserve"> заседание 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титеррори</w:t>
      </w:r>
      <w:r>
        <w:rPr>
          <w:b/>
          <w:sz w:val="28"/>
          <w:szCs w:val="28"/>
        </w:rPr>
        <w:t xml:space="preserve">стической комиссии</w:t>
      </w:r>
      <w:r>
        <w:t xml:space="preserve"> </w:t>
      </w:r>
      <w:r>
        <w:rPr>
          <w:b/>
          <w:sz w:val="28"/>
          <w:szCs w:val="28"/>
        </w:rPr>
        <w:t xml:space="preserve">города Нижнего Новгорода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оперативного штаба </w:t>
      </w:r>
      <w:r>
        <w:rPr>
          <w:b/>
          <w:color w:val="000000"/>
          <w:sz w:val="28"/>
          <w:szCs w:val="28"/>
        </w:rPr>
        <w:t xml:space="preserve">города Нижнего</w:t>
      </w:r>
      <w:r>
        <w:rPr>
          <w:b/>
          <w:color w:val="000000"/>
          <w:sz w:val="28"/>
          <w:szCs w:val="28"/>
        </w:rPr>
        <w:t xml:space="preserve"> Новгорода по реализации мер, </w:t>
      </w:r>
      <w:r>
        <w:rPr>
          <w:b/>
          <w:color w:val="000000"/>
          <w:sz w:val="28"/>
          <w:szCs w:val="28"/>
        </w:rPr>
        <w:t xml:space="preserve">предусмотренных Ука</w:t>
      </w:r>
      <w:r>
        <w:rPr>
          <w:b/>
          <w:color w:val="000000"/>
          <w:sz w:val="28"/>
          <w:szCs w:val="28"/>
        </w:rPr>
        <w:t xml:space="preserve">зо</w:t>
      </w:r>
      <w:r>
        <w:rPr>
          <w:b/>
          <w:color w:val="000000"/>
          <w:sz w:val="28"/>
          <w:szCs w:val="28"/>
        </w:rPr>
        <w:t xml:space="preserve">м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Президента Российской Федерации от 19</w:t>
      </w:r>
      <w:r>
        <w:rPr>
          <w:b/>
          <w:color w:val="000000"/>
          <w:sz w:val="28"/>
          <w:szCs w:val="28"/>
        </w:rPr>
        <w:t xml:space="preserve">.10.2022 № 7</w:t>
      </w:r>
      <w:r>
        <w:rPr>
          <w:b/>
          <w:color w:val="000000"/>
          <w:sz w:val="28"/>
          <w:szCs w:val="28"/>
        </w:rPr>
        <w:t xml:space="preserve">57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32"/>
        <w:ind w:left="0" w:right="0" w:firstLine="709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03 сентября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20</w:t>
      </w:r>
      <w:r>
        <w:rPr>
          <w:b w:val="0"/>
          <w:bCs w:val="0"/>
          <w:sz w:val="28"/>
          <w:szCs w:val="28"/>
        </w:rPr>
        <w:t xml:space="preserve">25</w:t>
      </w:r>
      <w:r>
        <w:rPr>
          <w:b w:val="0"/>
          <w:bCs w:val="0"/>
          <w:sz w:val="28"/>
          <w:szCs w:val="28"/>
        </w:rPr>
        <w:t xml:space="preserve"> года </w:t>
      </w:r>
      <w:r>
        <w:rPr>
          <w:b w:val="0"/>
          <w:bCs w:val="0"/>
          <w:sz w:val="28"/>
          <w:szCs w:val="28"/>
        </w:rPr>
        <w:t xml:space="preserve">проведено </w:t>
      </w:r>
      <w:r>
        <w:rPr>
          <w:b w:val="0"/>
          <w:bCs w:val="0"/>
          <w:sz w:val="28"/>
          <w:szCs w:val="28"/>
        </w:rPr>
        <w:t xml:space="preserve">совместное</w:t>
      </w:r>
      <w:r>
        <w:rPr>
          <w:b w:val="0"/>
          <w:bCs w:val="0"/>
          <w:sz w:val="28"/>
          <w:szCs w:val="28"/>
        </w:rPr>
        <w:t xml:space="preserve"> заседание </w:t>
      </w:r>
      <w:r>
        <w:rPr>
          <w:b w:val="0"/>
          <w:bCs w:val="0"/>
          <w:sz w:val="28"/>
          <w:szCs w:val="28"/>
        </w:rPr>
        <w:t xml:space="preserve">а</w:t>
      </w:r>
      <w:r>
        <w:rPr>
          <w:b w:val="0"/>
          <w:bCs w:val="0"/>
          <w:sz w:val="28"/>
          <w:szCs w:val="28"/>
        </w:rPr>
        <w:t xml:space="preserve">н</w:t>
      </w:r>
      <w:r>
        <w:rPr>
          <w:b w:val="0"/>
          <w:bCs w:val="0"/>
          <w:sz w:val="28"/>
          <w:szCs w:val="28"/>
        </w:rPr>
        <w:t xml:space="preserve">титеррори</w:t>
      </w:r>
      <w:r>
        <w:rPr>
          <w:b w:val="0"/>
          <w:bCs w:val="0"/>
          <w:sz w:val="28"/>
          <w:szCs w:val="28"/>
        </w:rPr>
        <w:t xml:space="preserve">стической комиссии</w:t>
      </w:r>
      <w:r>
        <w:rPr>
          <w:b w:val="0"/>
          <w:bCs w:val="0"/>
        </w:rPr>
        <w:t xml:space="preserve"> </w:t>
      </w:r>
      <w:r>
        <w:rPr>
          <w:b w:val="0"/>
          <w:bCs w:val="0"/>
          <w:sz w:val="28"/>
          <w:szCs w:val="28"/>
        </w:rPr>
        <w:t xml:space="preserve">города Нижнего Новгорода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и </w:t>
      </w:r>
      <w:r>
        <w:rPr>
          <w:b w:val="0"/>
          <w:bCs w:val="0"/>
          <w:sz w:val="28"/>
          <w:szCs w:val="28"/>
        </w:rPr>
        <w:t xml:space="preserve">оперативного штаба </w:t>
      </w:r>
      <w:r>
        <w:rPr>
          <w:b w:val="0"/>
          <w:bCs w:val="0"/>
          <w:color w:val="000000"/>
          <w:sz w:val="28"/>
          <w:szCs w:val="28"/>
        </w:rPr>
        <w:t xml:space="preserve">города Нижнего</w:t>
      </w:r>
      <w:r>
        <w:rPr>
          <w:b w:val="0"/>
          <w:bCs w:val="0"/>
          <w:color w:val="000000"/>
          <w:sz w:val="28"/>
          <w:szCs w:val="28"/>
        </w:rPr>
        <w:t xml:space="preserve"> Новгорода по реализации мер, </w:t>
      </w:r>
      <w:r>
        <w:rPr>
          <w:b w:val="0"/>
          <w:bCs w:val="0"/>
          <w:color w:val="000000"/>
          <w:sz w:val="28"/>
          <w:szCs w:val="28"/>
        </w:rPr>
        <w:t xml:space="preserve">предусмотренных Ука</w:t>
      </w:r>
      <w:r>
        <w:rPr>
          <w:b w:val="0"/>
          <w:bCs w:val="0"/>
          <w:color w:val="000000"/>
          <w:sz w:val="28"/>
          <w:szCs w:val="28"/>
        </w:rPr>
        <w:t xml:space="preserve">зо</w:t>
      </w:r>
      <w:r>
        <w:rPr>
          <w:b w:val="0"/>
          <w:bCs w:val="0"/>
          <w:color w:val="000000"/>
          <w:sz w:val="28"/>
          <w:szCs w:val="28"/>
        </w:rPr>
        <w:t xml:space="preserve">м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 xml:space="preserve">Президента Российской Федерации от 19</w:t>
      </w:r>
      <w:r>
        <w:rPr>
          <w:b w:val="0"/>
          <w:bCs w:val="0"/>
          <w:color w:val="000000"/>
          <w:sz w:val="28"/>
          <w:szCs w:val="28"/>
        </w:rPr>
        <w:t xml:space="preserve">.10.2022 № 7</w:t>
      </w:r>
      <w:r>
        <w:rPr>
          <w:b w:val="0"/>
          <w:bCs w:val="0"/>
          <w:color w:val="000000"/>
          <w:sz w:val="28"/>
          <w:szCs w:val="28"/>
        </w:rPr>
        <w:t xml:space="preserve">57</w:t>
      </w:r>
      <w:r>
        <w:rPr>
          <w:b w:val="0"/>
          <w:bCs w:val="0"/>
          <w:sz w:val="28"/>
          <w:szCs w:val="28"/>
        </w:rPr>
        <w:t xml:space="preserve">. В нем приняли участие руководители силовых ведомств, прокуратуры, </w:t>
      </w:r>
      <w:r>
        <w:rPr>
          <w:bCs/>
          <w:sz w:val="28"/>
          <w:szCs w:val="28"/>
        </w:rPr>
        <w:t xml:space="preserve">отраслевых (фу</w:t>
      </w:r>
      <w:r>
        <w:rPr>
          <w:bCs/>
          <w:sz w:val="28"/>
          <w:szCs w:val="28"/>
        </w:rPr>
        <w:t xml:space="preserve">н</w:t>
      </w:r>
      <w:r>
        <w:rPr>
          <w:bCs/>
          <w:sz w:val="28"/>
          <w:szCs w:val="28"/>
        </w:rPr>
        <w:t xml:space="preserve">кциональных) и территори</w:t>
      </w:r>
      <w:r>
        <w:rPr>
          <w:bCs/>
          <w:sz w:val="28"/>
          <w:szCs w:val="28"/>
        </w:rPr>
        <w:t xml:space="preserve">альных органов администрации города Нижнего Новг</w:t>
      </w:r>
      <w:r>
        <w:rPr>
          <w:bCs/>
          <w:sz w:val="28"/>
          <w:szCs w:val="28"/>
        </w:rPr>
        <w:t xml:space="preserve">орода.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32"/>
        <w:ind w:left="0" w:right="0" w:firstLine="709"/>
        <w:jc w:val="both"/>
        <w:rPr>
          <w:iCs/>
          <w:sz w:val="28"/>
          <w:szCs w:val="28"/>
          <w:highlight w:val="none"/>
        </w:rPr>
      </w:pPr>
      <w:r>
        <w:rPr>
          <w:sz w:val="28"/>
          <w:szCs w:val="28"/>
        </w:rPr>
        <w:t xml:space="preserve">Особое внимание участники заседания уделили обсуждению вопроса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bookmarkStart w:id="0" w:name="_Hlk121751138"/>
      <w:r>
        <w:rPr>
          <w:sz w:val="28"/>
          <w:szCs w:val="28"/>
        </w:rPr>
        <w:t xml:space="preserve">«</w:t>
      </w:r>
      <w:bookmarkEnd w:id="0"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 оп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еративной об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становке в город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 Нижнем Новго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роде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в период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подготовки к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Единому дню голосования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готовност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муниципальных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орга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вл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правоохраните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льных структур к 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бесп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ече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нию безопа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выбор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ной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ка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мпании и мерах по предотвраще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нию нарушени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й за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кона в перио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 выборов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iCs/>
          <w:sz w:val="28"/>
          <w:szCs w:val="28"/>
          <w:highlight w:val="none"/>
        </w:rPr>
      </w:r>
      <w:r>
        <w:rPr>
          <w:iCs/>
          <w:sz w:val="28"/>
          <w:szCs w:val="28"/>
          <w:highlight w:val="none"/>
        </w:rPr>
      </w:r>
    </w:p>
    <w:p>
      <w:pPr>
        <w:pStyle w:val="832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</w:t>
      </w:r>
      <w:r>
        <w:rPr>
          <w:sz w:val="28"/>
          <w:szCs w:val="28"/>
        </w:rPr>
        <w:t xml:space="preserve">их докладах представители оперативных </w:t>
      </w:r>
      <w:r>
        <w:rPr>
          <w:sz w:val="28"/>
          <w:szCs w:val="28"/>
        </w:rPr>
        <w:t xml:space="preserve">служб города </w:t>
      </w:r>
      <w:r>
        <w:rPr>
          <w:sz w:val="28"/>
          <w:szCs w:val="28"/>
        </w:rPr>
        <w:t xml:space="preserve">отметили, что </w:t>
      </w:r>
      <w:r>
        <w:rPr>
          <w:sz w:val="28"/>
          <w:szCs w:val="28"/>
        </w:rPr>
        <w:t xml:space="preserve">будет проведен </w:t>
      </w:r>
      <w:r>
        <w:rPr>
          <w:sz w:val="28"/>
          <w:szCs w:val="28"/>
        </w:rPr>
        <w:t xml:space="preserve">необходимый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комплекс оперативно-профилактических мероприятий по недопущению на терр</w:t>
      </w:r>
      <w:r>
        <w:rPr>
          <w:sz w:val="28"/>
          <w:szCs w:val="28"/>
        </w:rPr>
        <w:t xml:space="preserve">итории города Нижнего Новгорода террористических актов и других чрезвычайных ситуаций в период подготовки и проведения Единого дня голосования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будут </w:t>
      </w:r>
      <w:r>
        <w:rPr>
          <w:sz w:val="28"/>
          <w:szCs w:val="28"/>
          <w:shd w:val="clear" w:color="auto" w:fill="ffffff"/>
        </w:rPr>
        <w:t xml:space="preserve">максимально задействованы все имеющиеся силы и средства.</w:t>
      </w:r>
      <w:r>
        <w:rPr>
          <w:sz w:val="28"/>
          <w:szCs w:val="28"/>
        </w:rPr>
        <w:t xml:space="preserve"> Заместители </w:t>
      </w:r>
      <w:r>
        <w:rPr>
          <w:b w:val="0"/>
          <w:bCs w:val="0"/>
          <w:sz w:val="28"/>
          <w:szCs w:val="28"/>
        </w:rPr>
        <w:t xml:space="preserve">главы администрации города, главы администраций районов города Нижнего Новгорода</w:t>
      </w:r>
      <w:r>
        <w:rPr>
          <w:sz w:val="28"/>
          <w:szCs w:val="28"/>
        </w:rPr>
        <w:t xml:space="preserve"> в своих выступлениях проинформировали о </w:t>
      </w:r>
      <w:r>
        <w:rPr>
          <w:sz w:val="28"/>
          <w:szCs w:val="28"/>
          <w:highlight w:val="none"/>
        </w:rPr>
        <w:t xml:space="preserve">проведенной и планируемой работе </w:t>
      </w:r>
      <w:r>
        <w:rPr>
          <w:sz w:val="28"/>
          <w:szCs w:val="28"/>
        </w:rPr>
        <w:t xml:space="preserve">по вопросам обеспечения безопасности и антитеррористической защищенности </w:t>
      </w:r>
      <w:r>
        <w:rPr>
          <w:sz w:val="28"/>
          <w:szCs w:val="28"/>
        </w:rPr>
        <w:t xml:space="preserve">мест проведения </w:t>
      </w:r>
      <w:r>
        <w:rPr>
          <w:sz w:val="28"/>
          <w:szCs w:val="28"/>
        </w:rPr>
        <w:t xml:space="preserve">Единого дня голосования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Также н</w:t>
      </w:r>
      <w:r>
        <w:rPr>
          <w:bCs/>
          <w:sz w:val="28"/>
          <w:szCs w:val="28"/>
        </w:rPr>
        <w:t xml:space="preserve">а </w:t>
      </w:r>
      <w:r>
        <w:rPr>
          <w:bCs/>
          <w:sz w:val="28"/>
          <w:szCs w:val="28"/>
        </w:rPr>
        <w:t xml:space="preserve">совместном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засе</w:t>
      </w:r>
      <w:r>
        <w:rPr>
          <w:bCs/>
          <w:sz w:val="28"/>
          <w:szCs w:val="28"/>
        </w:rPr>
        <w:t xml:space="preserve">дании рассматривались</w:t>
      </w:r>
      <w:r>
        <w:rPr>
          <w:bCs/>
          <w:sz w:val="28"/>
          <w:szCs w:val="28"/>
        </w:rPr>
        <w:t xml:space="preserve"> следующие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47"/>
        <w:numPr>
          <w:numId w:val="1"/>
          <w:ilvl w:val="0"/>
        </w:numPr>
        <w:tabs>
          <w:tab w:val="left" w:pos="1134" w:leader="none"/>
        </w:tabs>
        <w:ind w:left="0" w:right="0" w:firstLine="709"/>
        <w:jc w:val="both"/>
        <w:rPr>
          <w:b w:val="0"/>
          <w:bCs w:val="0"/>
          <w:i/>
        </w:rPr>
      </w:pPr>
      <w:r>
        <w:rPr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ост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янии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ринимаемых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мерах по уси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ле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ию антитеррористичес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ой защ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щенности, пожарной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без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опасности 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инжен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ерн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о-те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хнической укрепленн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муниципальн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ых обра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зовательных органи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циях г.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Ни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жнего Новг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рода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при подготовке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к 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5-202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6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уч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ебному го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;</w:t>
      </w:r>
      <w:r>
        <w:rPr>
          <w:b w:val="0"/>
          <w:bCs w:val="0"/>
          <w:i/>
        </w:rPr>
      </w:r>
    </w:p>
    <w:p>
      <w:pPr>
        <w:pStyle w:val="832"/>
        <w:numPr>
          <w:numId w:val="1"/>
          <w:ilvl w:val="0"/>
        </w:numPr>
        <w:tabs>
          <w:tab w:val="left" w:pos="1134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развити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муниципально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го сегмента региональной авто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матизированной систе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мы центр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лиз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ованного оповещения насел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ижегородской области;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numPr>
          <w:numId w:val="1"/>
          <w:ilvl w:val="0"/>
        </w:numPr>
        <w:tabs>
          <w:tab w:val="left" w:pos="1134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реа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из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ации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адми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истраци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Канавинского района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горо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да Нижне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вгорода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прош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едшем периоде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202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5 год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Плана ко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мплексны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анизационны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профилак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тических 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приятий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противодейств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ию терр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оризму и экстреми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му в город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 Нижнем Новг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роде на 20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24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- 202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годы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 та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кже Комплексного плана противодействия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ид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еологии терроризма в Российс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Федерации на 20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24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202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годы;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numPr>
          <w:numId w:val="1"/>
          <w:ilvl w:val="0"/>
        </w:numPr>
        <w:tabs>
          <w:tab w:val="left" w:pos="1134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 внесении изменений в Перечень мест массового пребывания людей на территории города Нижнего 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рода, утвержденный на заседании антитеррористической комиссии города Нижнего Новгорода (протокол № 4 от 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5.12.2015 года, с измен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ениями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)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sectPr>
      <w:footnotePr/>
      <w:endnotePr/>
      <w:type w:val="nextPage"/>
      <w:pgSz w:w="11906" w:h="16838" w:orient="portrait"/>
      <w:pgMar w:top="737" w:right="567" w:bottom="295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Franklin Gothic Demi Cond">
    <w:panose1 w:val="020B0706020203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  <w:b w:val="0"/>
        <w:color w:val="auto" w:themeColor="text1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ind w:left="720"/>
      <w:contextualSpacing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spacing w:after="57"/>
      <w:ind w:left="0" w:right="0" w:firstLine="0"/>
    </w:pPr>
  </w:style>
  <w:style w:type="paragraph" w:styleId="822">
    <w:name w:val="toc 2"/>
    <w:basedOn w:val="832"/>
    <w:next w:val="832"/>
    <w:uiPriority w:val="39"/>
    <w:unhideWhenUsed/>
    <w:pPr>
      <w:spacing w:after="57"/>
      <w:ind w:left="283" w:right="0" w:firstLine="0"/>
    </w:pPr>
  </w:style>
  <w:style w:type="paragraph" w:styleId="823">
    <w:name w:val="toc 3"/>
    <w:basedOn w:val="832"/>
    <w:next w:val="832"/>
    <w:uiPriority w:val="39"/>
    <w:unhideWhenUsed/>
    <w:pPr>
      <w:spacing w:after="57"/>
      <w:ind w:left="567" w:right="0" w:firstLine="0"/>
    </w:pPr>
  </w:style>
  <w:style w:type="paragraph" w:styleId="824">
    <w:name w:val="toc 4"/>
    <w:basedOn w:val="832"/>
    <w:next w:val="832"/>
    <w:uiPriority w:val="39"/>
    <w:unhideWhenUsed/>
    <w:pPr>
      <w:spacing w:after="57"/>
      <w:ind w:left="850" w:right="0" w:firstLine="0"/>
    </w:pPr>
  </w:style>
  <w:style w:type="paragraph" w:styleId="825">
    <w:name w:val="toc 5"/>
    <w:basedOn w:val="832"/>
    <w:next w:val="832"/>
    <w:uiPriority w:val="39"/>
    <w:unhideWhenUsed/>
    <w:pPr>
      <w:spacing w:after="57"/>
      <w:ind w:left="1134" w:right="0" w:firstLine="0"/>
    </w:pPr>
  </w:style>
  <w:style w:type="paragraph" w:styleId="826">
    <w:name w:val="toc 6"/>
    <w:basedOn w:val="832"/>
    <w:next w:val="832"/>
    <w:uiPriority w:val="39"/>
    <w:unhideWhenUsed/>
    <w:pPr>
      <w:spacing w:after="57"/>
      <w:ind w:left="1417" w:right="0" w:firstLine="0"/>
    </w:pPr>
  </w:style>
  <w:style w:type="paragraph" w:styleId="827">
    <w:name w:val="toc 7"/>
    <w:basedOn w:val="832"/>
    <w:next w:val="832"/>
    <w:uiPriority w:val="39"/>
    <w:unhideWhenUsed/>
    <w:pPr>
      <w:spacing w:after="57"/>
      <w:ind w:left="1701" w:right="0" w:firstLine="0"/>
    </w:pPr>
  </w:style>
  <w:style w:type="paragraph" w:styleId="828">
    <w:name w:val="toc 8"/>
    <w:basedOn w:val="832"/>
    <w:next w:val="832"/>
    <w:uiPriority w:val="39"/>
    <w:unhideWhenUsed/>
    <w:pPr>
      <w:spacing w:after="57"/>
      <w:ind w:left="1984" w:right="0" w:firstLine="0"/>
    </w:pPr>
  </w:style>
  <w:style w:type="paragraph" w:styleId="829">
    <w:name w:val="toc 9"/>
    <w:basedOn w:val="832"/>
    <w:next w:val="832"/>
    <w:uiPriority w:val="39"/>
    <w:unhideWhenUsed/>
    <w:pPr>
      <w:spacing w:after="57"/>
      <w:ind w:left="2268" w:right="0" w:firstLine="0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character" w:styleId="833">
    <w:name w:val="Основной шрифт абзаца"/>
    <w:next w:val="833"/>
    <w:link w:val="832"/>
    <w:semiHidden/>
  </w:style>
  <w:style w:type="table" w:styleId="834">
    <w:name w:val="Обычная таблица"/>
    <w:next w:val="834"/>
    <w:link w:val="832"/>
    <w:semiHidden/>
    <w:tblPr/>
  </w:style>
  <w:style w:type="numbering" w:styleId="835">
    <w:name w:val="Нет списка"/>
    <w:next w:val="835"/>
    <w:link w:val="832"/>
    <w:semiHidden/>
  </w:style>
  <w:style w:type="paragraph" w:styleId="836">
    <w:name w:val="Основной текст с отступом"/>
    <w:basedOn w:val="832"/>
    <w:next w:val="836"/>
    <w:link w:val="837"/>
    <w:pPr>
      <w:spacing w:after="120"/>
      <w:ind w:left="283"/>
    </w:pPr>
  </w:style>
  <w:style w:type="character" w:styleId="837">
    <w:name w:val="Основной текст с отступом Знак"/>
    <w:next w:val="837"/>
    <w:link w:val="836"/>
    <w:rPr>
      <w:sz w:val="24"/>
      <w:szCs w:val="24"/>
      <w:lang w:val="ru-RU" w:eastAsia="ru-RU" w:bidi="ar-SA"/>
    </w:rPr>
  </w:style>
  <w:style w:type="character" w:styleId="838">
    <w:name w:val="Font Style19"/>
    <w:next w:val="838"/>
    <w:link w:val="832"/>
    <w:rPr>
      <w:rFonts w:ascii="Franklin Gothic Demi Cond" w:hAnsi="Franklin Gothic Demi Cond" w:cs="Franklin Gothic Demi Cond"/>
      <w:sz w:val="14"/>
      <w:szCs w:val="14"/>
    </w:rPr>
  </w:style>
  <w:style w:type="character" w:styleId="839">
    <w:name w:val="Font Style24"/>
    <w:next w:val="839"/>
    <w:link w:val="832"/>
    <w:rPr>
      <w:rFonts w:ascii="Times New Roman" w:hAnsi="Times New Roman" w:cs="Times New Roman"/>
      <w:b/>
      <w:bCs/>
      <w:sz w:val="26"/>
      <w:szCs w:val="26"/>
    </w:rPr>
  </w:style>
  <w:style w:type="paragraph" w:styleId="840">
    <w:name w:val="Style13"/>
    <w:basedOn w:val="832"/>
    <w:next w:val="840"/>
    <w:link w:val="832"/>
    <w:pPr>
      <w:widowControl w:val="off"/>
      <w:spacing w:line="306" w:lineRule="exact"/>
      <w:ind w:firstLine="1378"/>
      <w:jc w:val="both"/>
    </w:pPr>
  </w:style>
  <w:style w:type="character" w:styleId="841">
    <w:name w:val="Font Style18"/>
    <w:next w:val="841"/>
    <w:link w:val="832"/>
    <w:rPr>
      <w:rFonts w:ascii="Times New Roman" w:hAnsi="Times New Roman" w:cs="Times New Roman"/>
      <w:b/>
      <w:bCs/>
      <w:sz w:val="24"/>
      <w:szCs w:val="24"/>
    </w:rPr>
  </w:style>
  <w:style w:type="character" w:styleId="842">
    <w:name w:val="Font Style22"/>
    <w:next w:val="842"/>
    <w:link w:val="832"/>
    <w:rPr>
      <w:rFonts w:ascii="Times New Roman" w:hAnsi="Times New Roman" w:cs="Times New Roman"/>
      <w:spacing w:val="10"/>
      <w:sz w:val="22"/>
      <w:szCs w:val="22"/>
    </w:rPr>
  </w:style>
  <w:style w:type="character" w:styleId="843">
    <w:name w:val="fontstyle01"/>
    <w:next w:val="843"/>
    <w:link w:val="832"/>
    <w:rPr>
      <w:rFonts w:ascii="Tahoma" w:hAnsi="Tahoma" w:cs="Tahoma"/>
      <w:color w:val="000000"/>
      <w:sz w:val="26"/>
      <w:szCs w:val="26"/>
    </w:rPr>
  </w:style>
  <w:style w:type="character" w:styleId="844" w:default="1">
    <w:name w:val="Default Paragraph Font"/>
    <w:uiPriority w:val="1"/>
    <w:semiHidden/>
    <w:unhideWhenUsed/>
  </w:style>
  <w:style w:type="numbering" w:styleId="845" w:default="1">
    <w:name w:val="No List"/>
    <w:uiPriority w:val="99"/>
    <w:semiHidden/>
    <w:unhideWhenUsed/>
  </w:style>
  <w:style w:type="table" w:styleId="846" w:default="1">
    <w:name w:val="Normal Table"/>
    <w:uiPriority w:val="99"/>
    <w:semiHidden/>
    <w:unhideWhenUsed/>
    <w:tblPr/>
  </w:style>
  <w:style w:type="paragraph" w:styleId="847" w:customStyle="1">
    <w:name w:val="Основной текст"/>
    <w:uiPriority w:val="99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Вступительное слово</dc:title>
  <dc:creator>11</dc:creator>
  <cp:lastModifiedBy>sokolenko</cp:lastModifiedBy>
  <cp:revision>5</cp:revision>
  <dcterms:created xsi:type="dcterms:W3CDTF">2023-06-26T10:27:00Z</dcterms:created>
  <dcterms:modified xsi:type="dcterms:W3CDTF">2025-12-04T14:01:51Z</dcterms:modified>
  <cp:version>1048576</cp:version>
</cp:coreProperties>
</file>